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80" w:lineRule="exact"/>
        <w:jc w:val="distribute"/>
        <w:rPr>
          <w:rFonts w:ascii="Times New Roman" w:hAnsi="Times New Roman" w:eastAsia="方正小标宋简体"/>
          <w:color w:val="FF0000"/>
          <w:w w:val="90"/>
          <w:sz w:val="88"/>
          <w:szCs w:val="88"/>
        </w:rPr>
      </w:pPr>
      <w:r>
        <w:rPr>
          <w:rFonts w:hint="eastAsia" w:ascii="Times New Roman" w:hAnsi="Times New Roman" w:eastAsia="方正小标宋简体"/>
          <w:color w:val="FF0000"/>
          <w:w w:val="90"/>
          <w:sz w:val="88"/>
          <w:szCs w:val="88"/>
          <w:lang w:eastAsia="zh-CN"/>
        </w:rPr>
        <w:t>邵阳市</w:t>
      </w:r>
      <w:r>
        <w:rPr>
          <w:rFonts w:ascii="Times New Roman" w:hAnsi="Times New Roman" w:eastAsia="方正小标宋简体"/>
          <w:color w:val="FF0000"/>
          <w:w w:val="90"/>
          <w:sz w:val="88"/>
          <w:szCs w:val="88"/>
        </w:rPr>
        <w:t>医疗保障局</w:t>
      </w:r>
    </w:p>
    <w:p>
      <w:pPr>
        <w:spacing w:line="1080" w:lineRule="exact"/>
        <w:jc w:val="distribute"/>
        <w:rPr>
          <w:rFonts w:ascii="Times New Roman" w:hAnsi="Times New Roman"/>
          <w:color w:val="auto"/>
          <w:w w:val="90"/>
        </w:rPr>
      </w:pPr>
      <w:r>
        <w:rPr>
          <w:rFonts w:hint="eastAsia" w:ascii="Times New Roman" w:hAnsi="Times New Roman" w:eastAsia="方正小标宋简体"/>
          <w:color w:val="FF0000"/>
          <w:w w:val="90"/>
          <w:sz w:val="88"/>
          <w:szCs w:val="88"/>
          <w:lang w:eastAsia="zh-CN"/>
        </w:rPr>
        <w:t>邵阳市</w:t>
      </w:r>
      <w:r>
        <w:rPr>
          <w:rFonts w:ascii="Times New Roman" w:hAnsi="Times New Roman" w:eastAsia="方正小标宋简体"/>
          <w:color w:val="FF0000"/>
          <w:w w:val="90"/>
          <w:sz w:val="88"/>
          <w:szCs w:val="88"/>
        </w:rPr>
        <w:t>卫生健康委员会</w:t>
      </w:r>
    </w:p>
    <w:p>
      <w:pPr>
        <w:spacing w:beforeLines="80" w:line="700" w:lineRule="exact"/>
        <w:jc w:val="righ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pacing w:val="-20"/>
          <w:w w:val="95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87630</wp:posOffset>
                </wp:positionV>
                <wp:extent cx="5760085" cy="0"/>
                <wp:effectExtent l="0" t="26670" r="635" b="3429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-7.35pt;margin-top:6.9pt;height:0pt;width:453.55pt;z-index:251659264;mso-width-relative:page;mso-height-relative:page;" filled="f" stroked="t" coordsize="21600,21600" o:gfxdata="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9CF1dUAAAAJAQAADwAAAAAAAAABACAAAAAiAAAAZHJzL2Rvd25yZXYueG1sUEsBAhQAFAAAAAgA&#10;h07iQOSvgHzvAQAA4wMAAA4AAAAAAAAAAQAgAAAAJAEAAGRycy9lMm9Eb2MueG1sUEsFBgAAAAAG&#10;AAYAWQEAAIUFAAAAAA==&#10;">
                <v:fill on="f" focussize="0,0"/>
                <v:stroke weight="4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pacing w:val="-20"/>
          <w:w w:val="95"/>
          <w:sz w:val="32"/>
          <w:szCs w:val="32"/>
          <w:lang w:eastAsia="zh-CN"/>
        </w:rPr>
        <w:t>邵</w:t>
      </w:r>
      <w:r>
        <w:rPr>
          <w:rFonts w:hint="eastAsia" w:ascii="Times New Roman" w:hAnsi="Times New Roman" w:eastAsia="仿宋_GB2312" w:cs="Times New Roman"/>
          <w:color w:val="auto"/>
          <w:spacing w:val="-20"/>
          <w:w w:val="95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医保函〔20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核定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2019年度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新增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医疗服务项目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价格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通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知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县市区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医保局、卫健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公立医疗机构：</w:t>
      </w:r>
    </w:p>
    <w:p>
      <w:pPr>
        <w:spacing w:line="7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为促进医疗新技术及时进入临床运用，满足人民群众的医疗需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求，根据省医保局、省卫生健康委《关于完善公立医疗机构新增医疗服务价格项目管理工作的通知》（湘医保发〔2019〕25号）和省医保局、省卫生健康委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关于核定和修订部分医疗服务价格项目的通知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（湘医保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〔2019〕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号）要求，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以我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现行有关医疗服务项目价格为基础，参照外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市州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同类项目价格水平，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研究制定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了我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</w:rPr>
        <w:t>新增医疗服务项目</w:t>
      </w:r>
      <w:r>
        <w:rPr>
          <w:rFonts w:hint="eastAsia" w:ascii="仿宋" w:hAnsi="仿宋" w:eastAsia="仿宋" w:cs="仿宋"/>
          <w:color w:val="auto"/>
          <w:w w:val="98"/>
          <w:sz w:val="32"/>
          <w:szCs w:val="32"/>
          <w:lang w:eastAsia="zh-CN"/>
        </w:rPr>
        <w:t>价格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现就有关事项通知如下：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color w:val="auto"/>
          <w:spacing w:val="-4"/>
          <w:w w:val="98"/>
          <w:sz w:val="32"/>
          <w:szCs w:val="32"/>
        </w:rPr>
      </w:pPr>
      <w:r>
        <w:rPr>
          <w:rFonts w:ascii="仿宋_GB2312" w:hAnsi="Times New Roman" w:eastAsia="仿宋_GB2312" w:cs="Times New Roman"/>
          <w:color w:val="auto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1332865</wp:posOffset>
                </wp:positionV>
                <wp:extent cx="5760085" cy="0"/>
                <wp:effectExtent l="0" t="25400" r="635" b="35560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08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-7.35pt;margin-top:104.95pt;height:0pt;width:453.55pt;z-index:251660288;mso-width-relative:page;mso-height-relative:page;" filled="f" stroked="t" coordsize="21600,21600" o:gfxdata="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+xLiC1wAAAAsBAAAPAAAAAAAAAAEAIAAAACIAAABkcnMvZG93bnJldi54bWxQSwECFAAUAAAA&#10;CACHTuJAIKr3Te8BAADjAwAADgAAAAAAAAABACAAAAAmAQAAZHJzL2Uyb0RvYy54bWxQSwUGAAAA&#10;AAYABgBZAQAAhwUAAAAA&#10;">
                <v:fill on="f" focussize="0,0"/>
                <v:stroke weight="4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一、合理制定新增医疗服务项目价格标准。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此次核定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2019年度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医疗服务项目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价格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公立医疗机构</w:t>
      </w:r>
      <w:r>
        <w:rPr>
          <w:rFonts w:hint="eastAsia" w:ascii="仿宋_GB2312" w:hAnsi="仿宋" w:eastAsia="仿宋_GB2312"/>
          <w:color w:val="auto"/>
          <w:w w:val="98"/>
          <w:sz w:val="32"/>
          <w:szCs w:val="32"/>
        </w:rPr>
        <w:t>最高指导价。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各公立医疗机构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情况制定实际收费标准，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不得高于全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最高指导价。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pacing w:val="-4"/>
          <w:w w:val="98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二、规范自主议价项目管理。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此次各公立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医疗机构开展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4个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自主议价项目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，应将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收费标准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市医保局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备案，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纳入医疗机构特需医疗服务项目范围，实施总量控制。各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县市区医保局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要建立辖区内公立医院特需医疗服务项目管理台账，落实总量管理和规模控制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10" w:firstLineChars="200"/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pacing w:val="-4"/>
          <w:w w:val="98"/>
          <w:sz w:val="32"/>
          <w:szCs w:val="32"/>
        </w:rPr>
        <w:t>三</w:t>
      </w:r>
      <w:r>
        <w:rPr>
          <w:rFonts w:hint="eastAsia" w:ascii="仿宋_GB2312" w:hAnsi="Times New Roman" w:eastAsia="仿宋_GB2312" w:cs="Times New Roman"/>
          <w:color w:val="auto"/>
          <w:w w:val="98"/>
          <w:sz w:val="32"/>
          <w:szCs w:val="32"/>
        </w:rPr>
        <w:t>、在价格项目“除外内容”和“说明”中未明确规定可另行收费的特殊医用耗材，一律不得向患者收费。</w:t>
      </w:r>
    </w:p>
    <w:p>
      <w:pPr>
        <w:ind w:firstLine="640"/>
        <w:rPr>
          <w:rFonts w:ascii="华文仿宋" w:hAnsi="华文仿宋" w:eastAsia="华文仿宋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w w:val="98"/>
          <w:sz w:val="32"/>
          <w:szCs w:val="32"/>
          <w:lang w:eastAsia="zh-CN"/>
        </w:rPr>
        <w:t>四</w:t>
      </w:r>
      <w:r>
        <w:rPr>
          <w:rFonts w:hint="eastAsia" w:ascii="仿宋_GB2312" w:hAnsi="Times New Roman" w:eastAsia="仿宋_GB2312" w:cs="Times New Roman"/>
          <w:color w:val="auto"/>
          <w:w w:val="98"/>
          <w:sz w:val="32"/>
          <w:szCs w:val="32"/>
        </w:rPr>
        <w:t>、加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>强医疗服务价格监测监管。各</w:t>
      </w:r>
      <w:r>
        <w:rPr>
          <w:rFonts w:hint="eastAsia" w:ascii="Times New Roman" w:hAnsi="Times New Roman" w:eastAsia="仿宋_GB2312" w:cs="Times New Roman"/>
          <w:color w:val="auto"/>
          <w:w w:val="98"/>
          <w:sz w:val="32"/>
          <w:szCs w:val="32"/>
          <w:lang w:eastAsia="zh-CN"/>
        </w:rPr>
        <w:t>县市区</w:t>
      </w:r>
      <w:r>
        <w:rPr>
          <w:rFonts w:ascii="Times New Roman" w:hAnsi="Times New Roman" w:eastAsia="仿宋_GB2312" w:cs="Times New Roman"/>
          <w:color w:val="auto"/>
          <w:w w:val="98"/>
          <w:sz w:val="32"/>
          <w:szCs w:val="32"/>
        </w:rPr>
        <w:t>医保局、卫生健康委要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建立公立医院医疗服务价格日常监督检查制度，及时发现和解决医疗服务价格政策与管理的新情况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新问题。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医保局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要落实医保费用审核和医保基金监管，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配合市场监管</w:t>
      </w:r>
      <w:r>
        <w:rPr>
          <w:rFonts w:hint="eastAsia" w:ascii="华文仿宋" w:hAnsi="华文仿宋" w:eastAsia="华文仿宋"/>
          <w:color w:val="auto"/>
          <w:sz w:val="32"/>
          <w:szCs w:val="32"/>
          <w:lang w:eastAsia="zh-CN"/>
        </w:rPr>
        <w:t>局</w:t>
      </w:r>
      <w:r>
        <w:rPr>
          <w:rFonts w:hint="eastAsia" w:ascii="华文仿宋" w:hAnsi="华文仿宋" w:eastAsia="华文仿宋"/>
          <w:color w:val="auto"/>
          <w:sz w:val="32"/>
          <w:szCs w:val="32"/>
        </w:rPr>
        <w:t>对医疗服务价格违规行为进行及时查处。</w:t>
      </w:r>
    </w:p>
    <w:p>
      <w:pPr>
        <w:widowControl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576" w:firstLineChars="18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邵阳市2019年度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新增医疗服务项目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价格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表</w:t>
      </w:r>
    </w:p>
    <w:p>
      <w:pPr>
        <w:spacing w:line="560" w:lineRule="exact"/>
        <w:rPr>
          <w:rFonts w:ascii="仿宋_GB2312" w:hAnsi="仿宋" w:eastAsia="仿宋_GB2312"/>
          <w:color w:val="auto"/>
          <w:w w:val="98"/>
          <w:sz w:val="32"/>
          <w:szCs w:val="32"/>
        </w:rPr>
      </w:pPr>
    </w:p>
    <w:p>
      <w:pPr>
        <w:spacing w:line="550" w:lineRule="exact"/>
        <w:ind w:left="420" w:leftChars="200"/>
        <w:jc w:val="center"/>
        <w:rPr>
          <w:rFonts w:hint="eastAsia" w:ascii="仿宋_GB2312" w:hAnsi="仿宋" w:eastAsia="仿宋_GB2312"/>
          <w:color w:val="auto"/>
          <w:w w:val="98"/>
          <w:sz w:val="32"/>
          <w:szCs w:val="32"/>
          <w:lang w:eastAsia="zh-CN"/>
        </w:rPr>
      </w:pPr>
    </w:p>
    <w:p>
      <w:pPr>
        <w:spacing w:line="550" w:lineRule="exact"/>
        <w:ind w:left="420" w:leftChars="200"/>
        <w:jc w:val="center"/>
        <w:rPr>
          <w:rFonts w:hint="eastAsia" w:ascii="仿宋_GB2312" w:hAnsi="仿宋" w:eastAsia="仿宋_GB2312"/>
          <w:color w:val="auto"/>
          <w:w w:val="98"/>
          <w:sz w:val="32"/>
          <w:szCs w:val="32"/>
          <w:lang w:eastAsia="zh-CN"/>
        </w:rPr>
      </w:pPr>
    </w:p>
    <w:p>
      <w:pPr>
        <w:spacing w:line="550" w:lineRule="exact"/>
        <w:ind w:firstLine="626" w:firstLineChars="200"/>
        <w:jc w:val="both"/>
        <w:rPr>
          <w:rFonts w:hint="eastAsia" w:ascii="仿宋_GB2312" w:hAnsi="仿宋" w:eastAsia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w w:val="98"/>
          <w:sz w:val="32"/>
          <w:szCs w:val="32"/>
          <w:lang w:eastAsia="zh-CN"/>
        </w:rPr>
        <w:t>邵阳市医疗保障局</w:t>
      </w:r>
      <w:r>
        <w:rPr>
          <w:rFonts w:hint="eastAsia" w:ascii="仿宋_GB2312" w:hAnsi="仿宋" w:eastAsia="仿宋_GB2312"/>
          <w:color w:val="auto"/>
          <w:w w:val="98"/>
          <w:sz w:val="32"/>
          <w:szCs w:val="32"/>
          <w:lang w:val="en-US" w:eastAsia="zh-CN"/>
        </w:rPr>
        <w:t xml:space="preserve">        邵阳市卫生健康委员会</w:t>
      </w:r>
    </w:p>
    <w:p>
      <w:pPr>
        <w:spacing w:line="550" w:lineRule="exact"/>
        <w:ind w:firstLine="626" w:firstLineChars="200"/>
        <w:jc w:val="both"/>
        <w:rPr>
          <w:rFonts w:hint="eastAsia" w:ascii="仿宋_GB2312" w:hAnsi="仿宋" w:eastAsia="仿宋_GB2312"/>
          <w:color w:val="auto"/>
          <w:w w:val="98"/>
          <w:sz w:val="32"/>
          <w:szCs w:val="32"/>
          <w:lang w:val="en-US" w:eastAsia="zh-CN"/>
        </w:rPr>
      </w:pPr>
    </w:p>
    <w:p>
      <w:pPr>
        <w:spacing w:line="550" w:lineRule="exact"/>
        <w:ind w:firstLine="626" w:firstLineChars="200"/>
        <w:jc w:val="both"/>
        <w:rPr>
          <w:rFonts w:hint="eastAsia" w:ascii="仿宋_GB2312" w:hAnsi="仿宋" w:eastAsia="仿宋_GB2312"/>
          <w:color w:val="auto"/>
          <w:w w:val="98"/>
          <w:sz w:val="32"/>
          <w:szCs w:val="32"/>
          <w:lang w:val="en-US" w:eastAsia="zh-CN"/>
        </w:rPr>
      </w:pPr>
    </w:p>
    <w:p>
      <w:pPr>
        <w:spacing w:line="550" w:lineRule="exact"/>
        <w:ind w:firstLine="2504" w:firstLineChars="800"/>
        <w:jc w:val="both"/>
        <w:rPr>
          <w:rFonts w:hint="default" w:ascii="仿宋_GB2312" w:hAnsi="仿宋" w:eastAsia="仿宋_GB2312"/>
          <w:color w:val="auto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w w:val="98"/>
          <w:sz w:val="32"/>
          <w:szCs w:val="32"/>
          <w:lang w:val="en-US" w:eastAsia="zh-CN"/>
        </w:rPr>
        <w:t xml:space="preserve">2020年1月20日  </w:t>
      </w:r>
    </w:p>
    <w:p>
      <w:pPr>
        <w:spacing w:line="550" w:lineRule="exact"/>
        <w:jc w:val="both"/>
        <w:rPr>
          <w:rFonts w:hint="default" w:ascii="仿宋_GB2312" w:hAnsi="仿宋" w:eastAsia="仿宋_GB2312"/>
          <w:color w:val="auto"/>
          <w:w w:val="98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5" w:right="1588" w:bottom="1588" w:left="1588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1087"/>
        <w:gridCol w:w="1370"/>
        <w:gridCol w:w="4090"/>
        <w:gridCol w:w="3286"/>
        <w:gridCol w:w="474"/>
        <w:gridCol w:w="490"/>
        <w:gridCol w:w="490"/>
        <w:gridCol w:w="490"/>
        <w:gridCol w:w="17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附件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一类价格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二类价格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三类价格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120300001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氧气吸入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氧气创面治疗参照执行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一次性鼻导管、鼻塞、面罩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加压给氧加收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color w:val="auto"/>
                <w:lang w:val="en-US" w:eastAsia="zh-CN" w:bidi="ar"/>
              </w:rPr>
              <w:t>元；</w:t>
            </w:r>
            <w:r>
              <w:rPr>
                <w:rStyle w:val="14"/>
                <w:color w:val="auto"/>
                <w:lang w:val="en-US" w:eastAsia="zh-CN" w:bidi="ar"/>
              </w:rPr>
              <w:t>智能监控吸氧加收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0.5</w:t>
            </w:r>
            <w:r>
              <w:rPr>
                <w:rStyle w:val="14"/>
                <w:color w:val="auto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4"/>
                <w:color w:val="auto"/>
                <w:lang w:val="en-US" w:eastAsia="zh-CN" w:bidi="ar"/>
              </w:rPr>
              <w:t>小时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120400006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静脉输液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输血、留置静脉针分别参照执行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避光输液器、微电脑输液器、留置静脉针头、留置针固定专用聚氨酯透明敷贴、一次性肝素帽、输液接头（三通、多通）。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连续输液第二组起每组只收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color w:val="auto"/>
                <w:lang w:val="en-US" w:eastAsia="zh-CN" w:bidi="ar"/>
              </w:rPr>
              <w:t>元。使用微电脑输液泵每小时加收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color w:val="auto"/>
                <w:lang w:val="en-US" w:eastAsia="zh-CN" w:bidi="ar"/>
              </w:rPr>
              <w:t>元，智能输液仪每小时加收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13"/>
                <w:color w:val="auto"/>
                <w:lang w:val="en-US" w:eastAsia="zh-CN" w:bidi="ar"/>
              </w:rPr>
              <w:t>元。</w:t>
            </w:r>
            <w:r>
              <w:rPr>
                <w:rStyle w:val="14"/>
                <w:color w:val="auto"/>
                <w:lang w:val="en-US" w:eastAsia="zh-CN" w:bidi="ar"/>
              </w:rPr>
              <w:t>自动输液监控加收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1</w:t>
            </w:r>
            <w:r>
              <w:rPr>
                <w:rStyle w:val="14"/>
                <w:color w:val="auto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4"/>
                <w:color w:val="auto"/>
                <w:lang w:val="en-US" w:eastAsia="zh-CN" w:bidi="ar"/>
              </w:rPr>
              <w:t>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121600001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导尿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一次性导尿和留置导尿分别参照执行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特殊一次性消耗物品（包括导尿包、尿管及尿袋）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一次性导尿按次计价；留置导尿第一次按规定标准计收，以后每日收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13"/>
                <w:color w:val="auto"/>
                <w:lang w:val="en-US" w:eastAsia="zh-CN" w:bidi="ar"/>
              </w:rPr>
              <w:t>元；更换引流袋每次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13"/>
                <w:color w:val="auto"/>
                <w:lang w:val="en-US" w:eastAsia="zh-CN" w:bidi="ar"/>
              </w:rPr>
              <w:t>元（含引流袋）；</w:t>
            </w:r>
            <w:r>
              <w:rPr>
                <w:rStyle w:val="14"/>
                <w:color w:val="auto"/>
                <w:lang w:val="en-US" w:eastAsia="zh-CN" w:bidi="ar"/>
              </w:rPr>
              <w:t>智能尿流监测加收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10</w:t>
            </w:r>
            <w:r>
              <w:rPr>
                <w:rStyle w:val="14"/>
                <w:color w:val="auto"/>
                <w:lang w:val="en-US" w:eastAsia="zh-CN" w:bidi="ar"/>
              </w:rPr>
              <w:t>元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/</w:t>
            </w:r>
            <w:r>
              <w:rPr>
                <w:rStyle w:val="14"/>
                <w:color w:val="auto"/>
                <w:lang w:val="en-US" w:eastAsia="zh-CN" w:bidi="ar"/>
              </w:rPr>
              <w:t>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240700010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经皮微创激光消融治疗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超声引导下，以激光精准热消融组织内实体肿瘤，应用领域包括肝脏、甲状腺、肾脏、前列腺及肺脏等多脏器。不含超声引导费用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250102039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尿碘全定量测定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对尿液中碘元素快速全定量的检测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250104042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阴道微生态检测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阴道分泌物样本进行功能学检测（检测指标：过氧化氢、白细胞酯酶、唾液酸苷酶、β-葡萄糖醛酸酶和乙酰氨基葡萄糖苷酶、pH值）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250203082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血栓调节蛋白(TM)定量检测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样本类型：血液。样本采集，分离血浆，加入试剂，测定，审核结果，录入实验室信息系统或人工登记，发送报告;按规定处理废弃物；接受临床相关咨询。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250203083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纤溶酶-α2纤溶酶抑制物复合物(PAP)定量检测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样本类型：血液。样本采集，分离血浆，加入试剂，测定，审核结果，录入实验室信息系统或人工登记，发送报告;按规定处理废弃物；接受临床相关咨询。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250301007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血清转铁蛋白测定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指免疫比浊法。粪便、胃液等参照执行。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化学发光法加收200%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250301022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人β淀粉蛋白1-42（Aβ1-42）测定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阿尔茨海默症相关神经元蛋白1－42（Aβ1－42）进行检测。样本类型：血液。样本采集、签收、处理，定标，检测样本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250301023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人磷酸化tau-181蛋白测定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对阿尔茨海默症相关神经元蛋白tau-181进行检测。样本类型：血液。样本采集、签收、处理，定标，检测样本，审核结果，录入实验室信息系统或人工登记，发送报告；按规定处理废弃物；接受临床相关咨询。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250302012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糖化白蛋白（GA）测定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样本类型：血液。样本采集，分离血浆，加入试剂，测定，审核结果，录入实验室信息系统或人工登记，发送报告;按规定处理废弃物；接受临床相关咨询。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250401039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涎液化糖链抗原（KL-6）检测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250402069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神经元抗原谱抗体检测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检测神经元抗原谱抗体，各项神经元抗体（Amphiphysin，CV2， PNMA2（Ma2/Ta），Ri，Yo与Hu等）分别参照执行。包括样本采集、签收、处理，加免疫试剂，温育，检测，质控，审核结果，录入实验室信息系统或人工登记，发送报告；按规定处理废弃物；接受临床相关咨询。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250402071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自身免疫性脑炎抗谷氨酸受体抗体检测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血清或脑脊液中的自身免疫性脑炎抗体等相关抗体。样本类型：血清或脑脊液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250402072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血清抗磷脂酶A2受体抗体检测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检测血清中的抗体。样本类型：血清。包括样本采集、签收、处理，加免疫试剂，温育，检测，质控，审核结果，录入实验室信息系统或人工登记，发送报告；按规定处理废弃物；接受临床相关咨询。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250403105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弓形体抗体亲合力检测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指各种免疫学方法，对弓形虫IgG抗体亲和合力（结合能力）进行测定。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250403106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巨细胞病毒抗体亲合力检测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指各种免疫学方法，对巨细胞病毒抗体亲和合力（结合能力）进行测定。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250403092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细小病毒B19 IgG /IgM抗体检测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250403093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壳酶蛋白肝纤维化检测（Fibro-CHI)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适用于肝纤维化和肝硬化的诊断和分期。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250404106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多肿瘤标志物12项联合检测（男/女）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性检测CA19-9、CA125、CA72-4、AFP、NSE、CEA、Cyfra21-1、T-PSA、F-PSA、、PGI、PGII、Pro-GRP。女性患者检测CA19-9、CA125、CA72-4、AFP、NSE、CEA、Cyfra21-1、PGI、PGII、CA15-3、β-HCG、Pro-GRP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250404107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肝6项肿瘤标志物联合检测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CA19-9、CA125、CA72-4、AFP、CEA、Cyfra21-1。样本类型：血液。样本采集、签收、处理，加免疫试剂，温育，检测，质控，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250501048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XPert MTB/RIF结核分枝杆菌及利福平耐药检测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采用半巢式PCR技术，检测待测标本是否含有结核分枝杆菌DNA，并且能够检测结核分枝杆菌是否对利福平耐药。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250501049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结核耐药分子检测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采用熔解曲线法，检测结核分枝杆菌是否对利福平耐药。异烟肼、链霉素、乙胺丁醇和氟喹诺酮四种药的药敏参照利福平耐药检测执行。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每种药物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250501050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结核分枝杆菌抗原检测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采用免疫胶体金法，判断待测标本是否有结核分支杆菌特异抗原MPB64，从而对结核分枝杆菌进行鉴定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淋巴细胞微核率测定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外周血淋巴细胞经过培养、收获、制片、染色、仪器扫描和人工分析等步骤，确定微核率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染色体微阵列分析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将提取的人基因组DNA样本与阴、阳性对照同时进行酶切、连接、PCR扩增，并将扩增后的PCR产物进行磁珠纯化，然后将其片段化、标记并杂交至芯片上。通过仪器扫描芯片荧光信号并用软件分析结果，查询数据库对结果进行解读，判断并审核结果，录入实验室信息系统或人工登记，发送报告；按规定处理废弃物；接受临床相关咨询。各种标本的采集和处理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MTHFR基因多态性分析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叶酸基因多态性检测。样本类型：各种标本。各种标本的采集、签收、处理，DNA提取，经核酸浓度测定、PCR体系构建、PCR扩增、凝胶电泳分析、酶切、凝胶电泳分析等步骤，检测患者的叶酸基因多态位点的类型，审核结果，录入实验室信息系统或人工登记，发送报告；按照规定处理废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Y染色体微缺失检测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Y染色体微缺失检测。样本类型：各种标本。各种标本的采集、签收、处理，DNA提取，经核酸浓度测定、PCR体系构建、PCR扩增、凝胶电泳分析等步骤，检测患者的Y染色体15个STS位点及SRY基因缺失情况，审核结果，录入实验室信息系统或人工登记，发送报告；按照规定处理废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孕妇外周血胎儿游离DNA产前筛查与诊断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孕妇外周血胎儿游离DNA产前筛查与诊断技术提取孕妇外周血游离DNA后，构建测序文库并使用高通量测序仪上机测序，通过分析样本中胎儿游离DNA的21号、18号及13号染色体数量的差异，对胎儿染色体非整倍体疾病T21、T18、T13进行产前辅助筛查，判断并审核结果，录入实验室信息系统或人工登记，发送报告；按规定处理废弃物；接受临床相关咨询。标本的采集和处理，DNA提取除外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自主议价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260000026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RHD基因分型检测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RhD血型抗原编码基因的各等位基因（包括RhD阴性、部分D、弱D、DEL型）。样本采集、签收、处理(据标本类型不同进行相应的前处理)，提取基因组DNA，与质控品和内参同时扩增，分析扩增产物或杂交或测序等，进行基因分析，判断并审核结果，录入实验室信息系统或人工登记，发送报告；按规定处理废弃物；接受临床相关咨询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270300011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全自动单独滴染HE检测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全自动浸染封片参照执行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270700004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人乳头状瘤病毒致癌因子E6/E7信使RNA检测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取脱落细胞，于全自动核酸检测仪种进行靶标捕获，通过转录介导的等温扩增技术（TMA），对目标片段进行扩增，杂交保护反应检测信号，检测HPV E6 E7mRNA。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310100037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脑血管病临床量表测评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利用廉价、快速、可重复评估的诊断辅助量化工具为临床决策提供参考依据。包括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Style w:val="13"/>
                <w:color w:val="auto"/>
                <w:lang w:val="en-US" w:eastAsia="zh-CN" w:bidi="ar"/>
              </w:rPr>
              <w:t>类量表：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Barthel</w:t>
            </w:r>
            <w:r>
              <w:rPr>
                <w:rStyle w:val="13"/>
                <w:color w:val="auto"/>
                <w:lang w:val="en-US" w:eastAsia="zh-CN" w:bidi="ar"/>
              </w:rPr>
              <w:t>指数评定量表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ESSEN</w:t>
            </w:r>
            <w:r>
              <w:rPr>
                <w:rStyle w:val="13"/>
                <w:color w:val="auto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GCS</w:t>
            </w:r>
            <w:r>
              <w:rPr>
                <w:rStyle w:val="13"/>
                <w:color w:val="auto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HAS-BLED</w:t>
            </w:r>
            <w:r>
              <w:rPr>
                <w:rStyle w:val="13"/>
                <w:color w:val="auto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ALD</w:t>
            </w:r>
            <w:r>
              <w:rPr>
                <w:rStyle w:val="13"/>
                <w:color w:val="auto"/>
                <w:lang w:val="en-US" w:eastAsia="zh-CN" w:bidi="ar"/>
              </w:rPr>
              <w:t>评定量表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、房颤患者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CHA2DS2-VASc</w:t>
            </w:r>
            <w:r>
              <w:rPr>
                <w:rStyle w:val="13"/>
                <w:color w:val="auto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、改良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Rankin</w:t>
            </w:r>
            <w:r>
              <w:rPr>
                <w:rStyle w:val="13"/>
                <w:color w:val="auto"/>
                <w:lang w:val="en-US" w:eastAsia="zh-CN" w:bidi="ar"/>
              </w:rPr>
              <w:t>评分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Hachinsk</w:t>
            </w:r>
            <w:r>
              <w:rPr>
                <w:rStyle w:val="13"/>
                <w:color w:val="auto"/>
                <w:lang w:val="en-US" w:eastAsia="zh-CN" w:bidi="ar"/>
              </w:rPr>
              <w:t>缺血指数量表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(A</w:t>
            </w:r>
            <w:r>
              <w:rPr>
                <w:rStyle w:val="13"/>
                <w:color w:val="auto"/>
                <w:lang w:val="en-US" w:eastAsia="zh-CN" w:bidi="ar"/>
              </w:rPr>
              <w:t>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13"/>
                <w:color w:val="auto"/>
                <w:lang w:val="en-US" w:eastAsia="zh-CN" w:bidi="ar"/>
              </w:rPr>
              <w:t>等；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3"/>
                <w:color w:val="auto"/>
                <w:lang w:val="en-US" w:eastAsia="zh-CN" w:bidi="ar"/>
              </w:rPr>
              <w:t>类量表：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NIHSS</w:t>
            </w:r>
            <w:r>
              <w:rPr>
                <w:rStyle w:val="13"/>
                <w:color w:val="auto"/>
                <w:lang w:val="en-US" w:eastAsia="zh-CN" w:bidi="ar"/>
              </w:rPr>
              <w:t>评分（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3"/>
                <w:color w:val="auto"/>
                <w:lang w:val="en-US" w:eastAsia="zh-CN" w:bidi="ar"/>
              </w:rPr>
              <w:t>类）、蛛网膜下腔出血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Hess</w:t>
            </w:r>
            <w:r>
              <w:rPr>
                <w:rStyle w:val="13"/>
                <w:color w:val="auto"/>
                <w:lang w:val="en-US" w:eastAsia="zh-CN" w:bidi="ar"/>
              </w:rPr>
              <w:t>临床分级法（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3"/>
                <w:color w:val="auto"/>
                <w:lang w:val="en-US" w:eastAsia="zh-CN" w:bidi="ar"/>
              </w:rPr>
              <w:t>类）等。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A类：34。B类：45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A类：31。B类：42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Style w:val="13"/>
                <w:color w:val="auto"/>
                <w:lang w:val="en-US" w:eastAsia="zh-CN" w:bidi="ar"/>
              </w:rPr>
              <w:t>类：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Style w:val="13"/>
                <w:color w:val="auto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Style w:val="13"/>
                <w:color w:val="auto"/>
                <w:lang w:val="en-US" w:eastAsia="zh-CN" w:bidi="ar"/>
              </w:rPr>
              <w:t>类：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310403017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术中喉返神经监测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使用短效肌松药品麻醉，清理口腔分泌物，咽喉表面麻经口置入喉镜，暴露声门后神经监护气管插管，将插管上对应的电极线连接到监测器上，做电极检测，确定采集电极连接完好，外科医生手术时用神经探头探查，寻找和识别喉返神经，解离喉返神经过程中持续监测神经功能完整性，切除病变后再探测神经功能是否完好，关闭切口或行其他处理.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310701033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经外周动脉连续心排出量监测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消毒，动脉和中心静脉穿刺，连接监测仪，记录各项血流动力学指标、心脏每搏量变异(SVV)、肺水等监测数据。不含中心动脉导管置入。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310701034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脑氧饱和度监测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通过放置于颅骨上的发光电极，感应脑氧饱和度的变化，监测仪自动记录分析数据变化。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传感器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310702024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急性缺血性血栓超早期静脉溶栓术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溶栓治疗时间（door-to-needle time，DNT）控制在发病60分钟以内。对患者进行快速识别并评估，监测基本生命体征，必要时进行心肺支持（气道、呼吸、循环）等。建立急诊静脉溶栓绿色通道：多学科通力协作，成立专门溶栓小组，排除溶栓禁忌症后评估风险和获益，静脉溶栓治疗。溶栓过程中医生及护士全程监护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310800028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富血小板血浆（PRP）治疗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项目内涵:通过两次离心，从全血中提取出血小板浓缩液，含高浓度血小板，白细胞和纤维蛋白。PRP开启了人体自身修复的奥秘，将自身修复能力调动出来，加速了人体自然愈合的过程。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富血小板血浆制备装置、血浆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310902005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纤维胃十二指肠镜检查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含活检、刷检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电子镜加收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13"/>
                <w:color w:val="auto"/>
                <w:lang w:val="en-US" w:eastAsia="zh-CN" w:bidi="ar"/>
              </w:rPr>
              <w:t>元、</w:t>
            </w:r>
            <w:r>
              <w:rPr>
                <w:rStyle w:val="14"/>
                <w:color w:val="auto"/>
                <w:lang w:val="en-US" w:eastAsia="zh-CN" w:bidi="ar"/>
              </w:rPr>
              <w:t>内镜色素检查加收</w:t>
            </w:r>
            <w:r>
              <w:rPr>
                <w:rStyle w:val="15"/>
                <w:rFonts w:eastAsia="宋体"/>
                <w:color w:val="auto"/>
                <w:lang w:val="en-US" w:eastAsia="zh-CN" w:bidi="ar"/>
              </w:rPr>
              <w:t>200</w:t>
            </w:r>
            <w:r>
              <w:rPr>
                <w:rStyle w:val="14"/>
                <w:color w:val="auto"/>
                <w:lang w:val="en-US" w:eastAsia="zh-CN" w:bidi="ar"/>
              </w:rPr>
              <w:t>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310905006-1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经口直视电子胆管镜检查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咽喉麻醉，镇静，润滑，消泡，电子十二指肠镜经口插至十二指肠乳头部位，胰胆管造影，将胆管镜自母镜活检通道插入，经乳头开口沿导管插入胆管内，通过胆管镜进行检查。图文报告。不含监护、X线检查、活检、病理学检查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造影导管，导丝，血管夹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311201070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MP妊高征及并发症罹患风险监测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采用无创血流动力学脉搏波监测技术，进行妊高症的前期预测和治疗监测。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330404015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角膜胶原交联术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理是提高角膜硬度和增加生物力学稳定性。术前进行角膜评估。根据病情选择去上皮法和跨上皮法。去上皮病人可采用机械法、化学法或结合激光机去除；跨上皮法无需处理角膜上皮。根据角膜厚度调整角膜交联仪总能量予以交联反应。术必配戴绷带型角膜接触镜至角膜上皮完全愈合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单眼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5985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5387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330603009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经鼻内镜咽鼓管切除术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鼻内镜及手术器械经鼻孔进入鼻腔，打开鼻腔外侧壁，经上颌窦打开上颌窦后壁，游离保护翼腭窝内神经及血管，追踪上颌神经并定位圆孔，作为操作的外侧边界；再从鼻腔打开蝶窦，暴露蝶窦外下方的翼管，以翼管神经及岩浅大神经为内侧边界；离断翼外肌、磨除翼突，暴露咽鼓管软骨段，切除受累咽鼓管及临近病变，解剖并保护内侧边界以内的颈内动脉破裂孔段，最后以可吸收材料或自体软组织填补术腔，或以鼻腔带蒂粘膜瓣修复，或旷置术区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一次性鼻腔、鼻窦冲洗装置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331306007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经宫腔镜子宫纵隔切除术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不含术中B超监视；经宫腔镜宫腔粘连电切术、经宫腔镜妊娠残留物电切术参照执行。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腹腔镜辅助手术加收200元 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331306009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经宫腔镜子宫内膜剥离术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不含术中B超监视；经宫腔镜子宫内膜息肉电切术、经宫腔镜子宫内膜电切术、经宫腔镜子宫赘生物电切术参照执行。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1766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腹腔镜辅助手术加收200元 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331306012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经宫腔镜羊膜移植术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通过宫腔镜用机械方法或能源电极法分离宫腔各种粘连，恢复宫腔正常形态后，用宫腔水囊外敷异体羊膜或者生物羊膜置于宫腔，促进子宫内膜的再生。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医用生物羊膜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1668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340100032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岩盐气溶胶治疗</w:t>
            </w:r>
          </w:p>
        </w:tc>
        <w:tc>
          <w:tcPr>
            <w:tcW w:w="4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利用气溶盐胶的吸入有效减轻呼吸道粘膜水肿，减少气道的分泌物，促进粘液纤毛的廓清作用，快速改善患者症状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pgSz w:w="16838" w:h="11906" w:orient="landscape"/>
      <w:pgMar w:top="1588" w:right="1985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E6802"/>
    <w:rsid w:val="000D478A"/>
    <w:rsid w:val="00137B7C"/>
    <w:rsid w:val="0032333C"/>
    <w:rsid w:val="003A7A14"/>
    <w:rsid w:val="003C03E9"/>
    <w:rsid w:val="004B4531"/>
    <w:rsid w:val="00743D8E"/>
    <w:rsid w:val="00900C22"/>
    <w:rsid w:val="0091631B"/>
    <w:rsid w:val="009A382C"/>
    <w:rsid w:val="009B560B"/>
    <w:rsid w:val="01277FD4"/>
    <w:rsid w:val="022D082A"/>
    <w:rsid w:val="025576C9"/>
    <w:rsid w:val="077103F7"/>
    <w:rsid w:val="08553040"/>
    <w:rsid w:val="0BC40D05"/>
    <w:rsid w:val="0D18594C"/>
    <w:rsid w:val="0D89644E"/>
    <w:rsid w:val="0ECC592A"/>
    <w:rsid w:val="10553B61"/>
    <w:rsid w:val="109E0CF8"/>
    <w:rsid w:val="115D6C53"/>
    <w:rsid w:val="11BC093B"/>
    <w:rsid w:val="12BB09B1"/>
    <w:rsid w:val="12E10ACF"/>
    <w:rsid w:val="150C6618"/>
    <w:rsid w:val="16797E17"/>
    <w:rsid w:val="1A032345"/>
    <w:rsid w:val="1BFE7503"/>
    <w:rsid w:val="1D440BAE"/>
    <w:rsid w:val="1EB36C18"/>
    <w:rsid w:val="210A4B4D"/>
    <w:rsid w:val="2330113A"/>
    <w:rsid w:val="24882542"/>
    <w:rsid w:val="24AA5258"/>
    <w:rsid w:val="259B46C9"/>
    <w:rsid w:val="2A1E798C"/>
    <w:rsid w:val="2D8B4989"/>
    <w:rsid w:val="2E534166"/>
    <w:rsid w:val="2E8F68FE"/>
    <w:rsid w:val="32824064"/>
    <w:rsid w:val="33561750"/>
    <w:rsid w:val="338163AD"/>
    <w:rsid w:val="33E405B5"/>
    <w:rsid w:val="354B586E"/>
    <w:rsid w:val="38CB09B3"/>
    <w:rsid w:val="39A05C33"/>
    <w:rsid w:val="3AB96884"/>
    <w:rsid w:val="3F2F21A7"/>
    <w:rsid w:val="40F621E2"/>
    <w:rsid w:val="41626B25"/>
    <w:rsid w:val="42BE5E85"/>
    <w:rsid w:val="432F5D01"/>
    <w:rsid w:val="4540517F"/>
    <w:rsid w:val="48290AF5"/>
    <w:rsid w:val="4B294882"/>
    <w:rsid w:val="4ED92B14"/>
    <w:rsid w:val="50B80F45"/>
    <w:rsid w:val="5184451F"/>
    <w:rsid w:val="58404AF3"/>
    <w:rsid w:val="58BE5958"/>
    <w:rsid w:val="5A0F7C83"/>
    <w:rsid w:val="5C835EB8"/>
    <w:rsid w:val="5CCD5ECF"/>
    <w:rsid w:val="5E6D3369"/>
    <w:rsid w:val="639726A6"/>
    <w:rsid w:val="64AF2FDE"/>
    <w:rsid w:val="65602536"/>
    <w:rsid w:val="6B6F375A"/>
    <w:rsid w:val="6C2B3BE0"/>
    <w:rsid w:val="6C477649"/>
    <w:rsid w:val="6CBE55B6"/>
    <w:rsid w:val="6D677A73"/>
    <w:rsid w:val="72C25171"/>
    <w:rsid w:val="73F00FF9"/>
    <w:rsid w:val="74AC3220"/>
    <w:rsid w:val="77BE6802"/>
    <w:rsid w:val="789B7329"/>
    <w:rsid w:val="7BB813D8"/>
    <w:rsid w:val="7C1050AA"/>
    <w:rsid w:val="7FB01C71"/>
    <w:rsid w:val="7FF3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 text|3"/>
    <w:basedOn w:val="1"/>
    <w:qFormat/>
    <w:uiPriority w:val="0"/>
    <w:pPr>
      <w:shd w:val="clear" w:color="auto" w:fill="FFFFFF"/>
      <w:spacing w:before="1440" w:after="500" w:line="672" w:lineRule="exact"/>
      <w:jc w:val="center"/>
    </w:pPr>
    <w:rPr>
      <w:rFonts w:ascii="PMingLiU" w:hAnsi="PMingLiU" w:eastAsia="PMingLiU" w:cs="PMingLiU"/>
      <w:sz w:val="40"/>
      <w:szCs w:val="40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5">
    <w:name w:val="font91"/>
    <w:basedOn w:val="5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1226</Words>
  <Characters>6991</Characters>
  <Lines>58</Lines>
  <Paragraphs>16</Paragraphs>
  <TotalTime>7</TotalTime>
  <ScaleCrop>false</ScaleCrop>
  <LinksUpToDate>false</LinksUpToDate>
  <CharactersWithSpaces>8201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2019-12-11T09:21:00Z</dcterms:created>
  <dc:creator>省医保局</dc:creator>
  <cp:lastModifiedBy>Administrator</cp:lastModifiedBy>
  <cp:lastPrinted>2020-01-20T07:10:00Z</cp:lastPrinted>
  <dcterms:modified xsi:type="dcterms:W3CDTF">2022-03-09T08:55:22Z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8404C76CC24946DD814017807BDF7DAD</vt:lpwstr>
  </property>
</Properties>
</file>